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2627" w14:textId="77777777" w:rsidR="00CA4C7D" w:rsidRDefault="004F4078">
      <w:pPr>
        <w:shd w:val="clear" w:color="auto" w:fill="FFFFFF"/>
        <w:spacing w:before="300" w:after="28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Podmínky programu</w:t>
      </w:r>
      <w:r>
        <w:rPr>
          <w:rFonts w:ascii="Arial" w:eastAsia="Arial" w:hAnsi="Arial" w:cs="Arial"/>
          <w:b/>
          <w:color w:val="000000"/>
          <w:sz w:val="36"/>
          <w:szCs w:val="36"/>
        </w:rPr>
        <w:br/>
      </w:r>
      <w:r>
        <w:rPr>
          <w:rFonts w:ascii="Arial" w:eastAsia="Arial" w:hAnsi="Arial" w:cs="Arial"/>
          <w:b/>
          <w:color w:val="64A70B"/>
          <w:sz w:val="27"/>
          <w:szCs w:val="27"/>
        </w:rPr>
        <w:t xml:space="preserve">Prodloužená záruka iRobot společnosti </w:t>
      </w:r>
      <w:proofErr w:type="spellStart"/>
      <w:r>
        <w:rPr>
          <w:rFonts w:ascii="Arial" w:eastAsia="Arial" w:hAnsi="Arial" w:cs="Arial"/>
          <w:b/>
          <w:color w:val="64A70B"/>
          <w:sz w:val="27"/>
          <w:szCs w:val="27"/>
        </w:rPr>
        <w:t>Certus</w:t>
      </w:r>
      <w:proofErr w:type="spellEnd"/>
      <w:r>
        <w:rPr>
          <w:rFonts w:ascii="Arial" w:eastAsia="Arial" w:hAnsi="Arial" w:cs="Arial"/>
          <w:b/>
          <w:color w:val="64A70B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color w:val="64A70B"/>
          <w:sz w:val="27"/>
          <w:szCs w:val="27"/>
        </w:rPr>
        <w:t>Mercatus</w:t>
      </w:r>
      <w:proofErr w:type="spellEnd"/>
      <w:r>
        <w:rPr>
          <w:rFonts w:ascii="Arial" w:eastAsia="Arial" w:hAnsi="Arial" w:cs="Arial"/>
          <w:b/>
          <w:color w:val="64A70B"/>
          <w:sz w:val="27"/>
          <w:szCs w:val="27"/>
        </w:rPr>
        <w:t>, s.r.o.</w:t>
      </w:r>
    </w:p>
    <w:p w14:paraId="45D090B7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1.</w:t>
      </w:r>
    </w:p>
    <w:p w14:paraId="6D4CA18E" w14:textId="77777777" w:rsidR="00CA4C7D" w:rsidRDefault="004F40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Úvodní ustanovení</w:t>
      </w:r>
    </w:p>
    <w:p w14:paraId="2FDEC610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1.1.</w:t>
      </w:r>
    </w:p>
    <w:p w14:paraId="106128DC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Tyto podmínky (dále jen „</w:t>
      </w:r>
      <w:r>
        <w:rPr>
          <w:rFonts w:ascii="Arial" w:eastAsia="Arial" w:hAnsi="Arial" w:cs="Arial"/>
          <w:b/>
          <w:color w:val="000000"/>
          <w:sz w:val="21"/>
          <w:szCs w:val="21"/>
        </w:rPr>
        <w:t>Podmínky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“) platí pro úpravu práv a povinností zákazníků, kteří v níže uvedeném období zakoupili specifikované výrobky iRobot dovezené do České Republiky společností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Certus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Mercatus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>, s.r.o., IČO: 273 05 571, se sídlem K Žižkovu 282/9, Vysočany, 190 00 Praha 9, zaps</w:t>
      </w:r>
      <w:r>
        <w:rPr>
          <w:rFonts w:ascii="Arial" w:eastAsia="Arial" w:hAnsi="Arial" w:cs="Arial"/>
          <w:color w:val="333333"/>
          <w:sz w:val="21"/>
          <w:szCs w:val="21"/>
        </w:rPr>
        <w:t>aná v obchodním rejstříku vedeném Městským soudem v Praze, oddíl C, vložka 136164 (dále jen „</w:t>
      </w:r>
      <w:r>
        <w:rPr>
          <w:rFonts w:ascii="Arial" w:eastAsia="Arial" w:hAnsi="Arial" w:cs="Arial"/>
          <w:b/>
          <w:color w:val="000000"/>
          <w:sz w:val="21"/>
          <w:szCs w:val="21"/>
        </w:rPr>
        <w:t>Společnost</w:t>
      </w:r>
      <w:r>
        <w:rPr>
          <w:rFonts w:ascii="Arial" w:eastAsia="Arial" w:hAnsi="Arial" w:cs="Arial"/>
          <w:color w:val="333333"/>
          <w:sz w:val="21"/>
          <w:szCs w:val="21"/>
        </w:rPr>
        <w:t>“ nebo „</w:t>
      </w:r>
      <w:r>
        <w:rPr>
          <w:rFonts w:ascii="Arial" w:eastAsia="Arial" w:hAnsi="Arial" w:cs="Arial"/>
          <w:b/>
          <w:color w:val="000000"/>
          <w:sz w:val="21"/>
          <w:szCs w:val="21"/>
        </w:rPr>
        <w:t>my</w:t>
      </w:r>
      <w:r>
        <w:rPr>
          <w:rFonts w:ascii="Arial" w:eastAsia="Arial" w:hAnsi="Arial" w:cs="Arial"/>
          <w:color w:val="333333"/>
          <w:sz w:val="21"/>
          <w:szCs w:val="21"/>
        </w:rPr>
        <w:t>“) a kteří mají zájem o službu prodloužení záruky, přičemž za tímto účelem uzavřou prostřednictvím příslušných internetových stránek smlouvu, j</w:t>
      </w:r>
      <w:r>
        <w:rPr>
          <w:rFonts w:ascii="Arial" w:eastAsia="Arial" w:hAnsi="Arial" w:cs="Arial"/>
          <w:color w:val="333333"/>
          <w:sz w:val="21"/>
          <w:szCs w:val="21"/>
        </w:rPr>
        <w:t>ejíž podmínky jsou definovány těmito Podmínkami.</w:t>
      </w:r>
    </w:p>
    <w:p w14:paraId="7A69399D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1.2.</w:t>
      </w:r>
    </w:p>
    <w:p w14:paraId="31D436FE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Účelem programu „Prodloužená záruka iRobot společnosti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Certus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Mercatus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>, s.r.o.“ (dále jen „</w:t>
      </w:r>
      <w:r>
        <w:rPr>
          <w:rFonts w:ascii="Arial" w:eastAsia="Arial" w:hAnsi="Arial" w:cs="Arial"/>
          <w:b/>
          <w:color w:val="000000"/>
          <w:sz w:val="21"/>
          <w:szCs w:val="21"/>
        </w:rPr>
        <w:t>Program</w:t>
      </w:r>
      <w:r>
        <w:rPr>
          <w:rFonts w:ascii="Arial" w:eastAsia="Arial" w:hAnsi="Arial" w:cs="Arial"/>
          <w:color w:val="333333"/>
          <w:sz w:val="21"/>
          <w:szCs w:val="21"/>
        </w:rPr>
        <w:t>“) je především poskytování prodloužené tříleté (3) záruky (dále jen „</w:t>
      </w:r>
      <w:r>
        <w:rPr>
          <w:rFonts w:ascii="Arial" w:eastAsia="Arial" w:hAnsi="Arial" w:cs="Arial"/>
          <w:b/>
          <w:color w:val="000000"/>
          <w:sz w:val="21"/>
          <w:szCs w:val="21"/>
        </w:rPr>
        <w:t>prodloužená záruka</w:t>
      </w:r>
      <w:r>
        <w:rPr>
          <w:rFonts w:ascii="Arial" w:eastAsia="Arial" w:hAnsi="Arial" w:cs="Arial"/>
          <w:color w:val="333333"/>
          <w:sz w:val="21"/>
          <w:szCs w:val="21"/>
        </w:rPr>
        <w:t>“) namísto běžné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dvouleté (2) záruky (dále jen „</w:t>
      </w:r>
      <w:r>
        <w:rPr>
          <w:rFonts w:ascii="Arial" w:eastAsia="Arial" w:hAnsi="Arial" w:cs="Arial"/>
          <w:b/>
          <w:color w:val="000000"/>
          <w:sz w:val="21"/>
          <w:szCs w:val="21"/>
        </w:rPr>
        <w:t>běžná záruka</w:t>
      </w:r>
      <w:r>
        <w:rPr>
          <w:rFonts w:ascii="Arial" w:eastAsia="Arial" w:hAnsi="Arial" w:cs="Arial"/>
          <w:color w:val="333333"/>
          <w:sz w:val="21"/>
          <w:szCs w:val="21"/>
        </w:rPr>
        <w:t>“, běžná záruka a prodloužená záruka bez rozlišení dále jen „</w:t>
      </w:r>
      <w:r>
        <w:rPr>
          <w:rFonts w:ascii="Arial" w:eastAsia="Arial" w:hAnsi="Arial" w:cs="Arial"/>
          <w:b/>
          <w:color w:val="000000"/>
          <w:sz w:val="21"/>
          <w:szCs w:val="21"/>
        </w:rPr>
        <w:t>záruka</w:t>
      </w:r>
      <w:r>
        <w:rPr>
          <w:rFonts w:ascii="Arial" w:eastAsia="Arial" w:hAnsi="Arial" w:cs="Arial"/>
          <w:color w:val="333333"/>
          <w:sz w:val="21"/>
          <w:szCs w:val="21"/>
        </w:rPr>
        <w:t>“). Účelem Programu je dále zlepšení péče o Zákazníka.</w:t>
      </w:r>
    </w:p>
    <w:p w14:paraId="354E8AF6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1.3.</w:t>
      </w:r>
    </w:p>
    <w:p w14:paraId="2135CD4B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Prodloužená záruka j</w:t>
      </w:r>
      <w:r>
        <w:rPr>
          <w:rFonts w:ascii="Roboto" w:eastAsia="Roboto" w:hAnsi="Roboto" w:cs="Roboto"/>
          <w:b/>
          <w:sz w:val="21"/>
          <w:szCs w:val="21"/>
        </w:rPr>
        <w:t xml:space="preserve">e určena pro zákazníky Společnosti, nebo koncové zákazníky autorizovaných prodejců iRobot jejichž seznam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naleznate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na internetových stránkách www.irobot.cz/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autorizovani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>-prodejci-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irobot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>/, kteří si výrobek iRobo</w:t>
      </w:r>
      <w:r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  <w:t xml:space="preserve">t </w:t>
      </w:r>
      <w:r>
        <w:rPr>
          <w:rFonts w:ascii="Arial" w:eastAsia="Arial" w:hAnsi="Arial" w:cs="Arial"/>
          <w:b/>
          <w:color w:val="000000"/>
          <w:sz w:val="21"/>
          <w:szCs w:val="21"/>
        </w:rPr>
        <w:t>v mezidobí od 15.</w:t>
      </w:r>
      <w:r>
        <w:rPr>
          <w:rFonts w:ascii="Arial" w:eastAsia="Arial" w:hAnsi="Arial" w:cs="Arial"/>
          <w:b/>
          <w:sz w:val="21"/>
          <w:szCs w:val="21"/>
        </w:rPr>
        <w:t>10</w:t>
      </w:r>
      <w:r>
        <w:rPr>
          <w:rFonts w:ascii="Arial" w:eastAsia="Arial" w:hAnsi="Arial" w:cs="Arial"/>
          <w:b/>
          <w:color w:val="000000"/>
          <w:sz w:val="21"/>
          <w:szCs w:val="21"/>
        </w:rPr>
        <w:t>. 2021 do 15.1. 2022 a reg</w:t>
      </w:r>
      <w:r>
        <w:rPr>
          <w:rFonts w:ascii="Arial" w:eastAsia="Arial" w:hAnsi="Arial" w:cs="Arial"/>
          <w:b/>
          <w:color w:val="000000"/>
          <w:sz w:val="21"/>
          <w:szCs w:val="21"/>
        </w:rPr>
        <w:t>istrovali jej do 31.1. 2022</w:t>
      </w:r>
      <w:r>
        <w:rPr>
          <w:rFonts w:ascii="Arial" w:eastAsia="Arial" w:hAnsi="Arial" w:cs="Arial"/>
          <w:color w:val="333333"/>
          <w:sz w:val="21"/>
          <w:szCs w:val="21"/>
        </w:rPr>
        <w:t> (dále jen „</w:t>
      </w:r>
      <w:r>
        <w:rPr>
          <w:rFonts w:ascii="Arial" w:eastAsia="Arial" w:hAnsi="Arial" w:cs="Arial"/>
          <w:b/>
          <w:color w:val="000000"/>
          <w:sz w:val="21"/>
          <w:szCs w:val="21"/>
        </w:rPr>
        <w:t>Zákazník</w:t>
      </w:r>
      <w:r>
        <w:rPr>
          <w:rFonts w:ascii="Arial" w:eastAsia="Arial" w:hAnsi="Arial" w:cs="Arial"/>
          <w:color w:val="333333"/>
          <w:sz w:val="21"/>
          <w:szCs w:val="21"/>
        </w:rPr>
        <w:t>“ nebo „</w:t>
      </w:r>
      <w:r>
        <w:rPr>
          <w:rFonts w:ascii="Arial" w:eastAsia="Arial" w:hAnsi="Arial" w:cs="Arial"/>
          <w:b/>
          <w:color w:val="000000"/>
          <w:sz w:val="21"/>
          <w:szCs w:val="21"/>
        </w:rPr>
        <w:t>Vy</w:t>
      </w:r>
      <w:r>
        <w:rPr>
          <w:rFonts w:ascii="Arial" w:eastAsia="Arial" w:hAnsi="Arial" w:cs="Arial"/>
          <w:color w:val="333333"/>
          <w:sz w:val="21"/>
          <w:szCs w:val="21"/>
        </w:rPr>
        <w:t>“). Prodloužená záruka je určena výhradně pro fyzické osoby, spotřebitele.</w:t>
      </w:r>
    </w:p>
    <w:p w14:paraId="28118C7E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1.4.</w:t>
      </w:r>
    </w:p>
    <w:p w14:paraId="444773DF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Pro realizaci služeb v rámci Programu potřebujeme znát a zpracovávat některé Vaše osobní údaje. Detaily zpracování osob</w:t>
      </w:r>
      <w:r>
        <w:rPr>
          <w:rFonts w:ascii="Arial" w:eastAsia="Arial" w:hAnsi="Arial" w:cs="Arial"/>
          <w:color w:val="333333"/>
          <w:sz w:val="21"/>
          <w:szCs w:val="21"/>
        </w:rPr>
        <w:t>ních údajů naleznete v těchto Podmínkách.</w:t>
      </w:r>
    </w:p>
    <w:p w14:paraId="04351166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2.</w:t>
      </w:r>
    </w:p>
    <w:p w14:paraId="02E9324D" w14:textId="77777777" w:rsidR="00CA4C7D" w:rsidRDefault="004F40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Registrace zákazníka – uzavření smlouvy</w:t>
      </w:r>
    </w:p>
    <w:p w14:paraId="473B68F2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2.1.</w:t>
      </w:r>
    </w:p>
    <w:p w14:paraId="4D35F5DD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Registrace probíhá na internetových stránkách Společnosti </w:t>
      </w:r>
      <w:hyperlink r:id="rId5">
        <w:r>
          <w:rPr>
            <w:rFonts w:ascii="Arial" w:eastAsia="Arial" w:hAnsi="Arial" w:cs="Arial"/>
            <w:color w:val="64A70B"/>
            <w:sz w:val="21"/>
            <w:szCs w:val="21"/>
            <w:u w:val="single"/>
          </w:rPr>
          <w:t>www.irobotclub.cz</w:t>
        </w:r>
      </w:hyperlink>
      <w:r>
        <w:rPr>
          <w:rFonts w:ascii="Arial" w:eastAsia="Arial" w:hAnsi="Arial" w:cs="Arial"/>
          <w:color w:val="333333"/>
          <w:sz w:val="21"/>
          <w:szCs w:val="21"/>
        </w:rPr>
        <w:t> do 31.1. 2022.</w:t>
      </w:r>
    </w:p>
    <w:p w14:paraId="2A2609FC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2.2.</w:t>
      </w:r>
    </w:p>
    <w:p w14:paraId="1059D534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Uzavření Smlouvy probíhá tak, že Zákazník odešle řádně vyplněnou žádost o registraci, tj. nabídku k uzavření smlouvy, stisknutím tlačítka „odeslat žádost“. Společnost po ověření, že žádost splňuje podmínky pro přijetí do Programu, registraci akceptuje, tj.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nabídku přijme na e-mail uvedený v registračním formuláři. Akceptací registrace je uzavřena smlouva, jejíž podmínky jsou uvedeny v těchto Podmínkách (dále jen „</w:t>
      </w:r>
      <w:r>
        <w:rPr>
          <w:rFonts w:ascii="Arial" w:eastAsia="Arial" w:hAnsi="Arial" w:cs="Arial"/>
          <w:b/>
          <w:color w:val="000000"/>
          <w:sz w:val="21"/>
          <w:szCs w:val="21"/>
        </w:rPr>
        <w:t>Smlouva</w:t>
      </w:r>
      <w:r>
        <w:rPr>
          <w:rFonts w:ascii="Arial" w:eastAsia="Arial" w:hAnsi="Arial" w:cs="Arial"/>
          <w:color w:val="333333"/>
          <w:sz w:val="21"/>
          <w:szCs w:val="21"/>
        </w:rPr>
        <w:t>“).</w:t>
      </w:r>
    </w:p>
    <w:p w14:paraId="6154D865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2.3.</w:t>
      </w:r>
    </w:p>
    <w:p w14:paraId="0EFE96DA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Společnost není povinna žádost o registraci akceptovat, jinými slovy Společnost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není povinna se Zákazníkem Smlouvu uzavřít. Smlouvu Společnost neuzavře zejména pokud nejsou splněny podmínky pro účast v Programu.</w:t>
      </w:r>
    </w:p>
    <w:p w14:paraId="57EDDBD9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2.4.</w:t>
      </w:r>
    </w:p>
    <w:p w14:paraId="5B17E594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lastRenderedPageBreak/>
        <w:t>V případě zakoupení několika přístrojů značky iRobot provede Zákazník registraci pro každý přístroj zvlášť a pro každý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přístroj tak bude uzavřena separátní Smlouva.</w:t>
      </w:r>
    </w:p>
    <w:p w14:paraId="3ECF3F20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2.5.</w:t>
      </w:r>
    </w:p>
    <w:p w14:paraId="2FB578BB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Před poskytnutím svých osobních údajů se Zákazník seznámil s informacemi o zpracování osobních údajů, zejména s účelem a rozsahem zpracování.</w:t>
      </w:r>
    </w:p>
    <w:p w14:paraId="5FE56A0F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</w:t>
      </w:r>
    </w:p>
    <w:p w14:paraId="7F22B044" w14:textId="77777777" w:rsidR="00CA4C7D" w:rsidRDefault="004F40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Záruční podmínky</w:t>
      </w:r>
    </w:p>
    <w:p w14:paraId="70D11357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3.1.</w:t>
      </w:r>
    </w:p>
    <w:p w14:paraId="1FDFED83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Zákazník při registraci u Společnosti poskytuje mimo své osobní údaje i platný a čitelný prodejní doklad, který obsahuje zejména datum prodeje, model výrobku a označení prodejce, na </w:t>
      </w:r>
      <w:proofErr w:type="gramStart"/>
      <w:r>
        <w:rPr>
          <w:rFonts w:ascii="Arial" w:eastAsia="Arial" w:hAnsi="Arial" w:cs="Arial"/>
          <w:color w:val="333333"/>
          <w:sz w:val="21"/>
          <w:szCs w:val="21"/>
        </w:rPr>
        <w:t>základě</w:t>
      </w:r>
      <w:proofErr w:type="gramEnd"/>
      <w:r>
        <w:rPr>
          <w:rFonts w:ascii="Arial" w:eastAsia="Arial" w:hAnsi="Arial" w:cs="Arial"/>
          <w:color w:val="333333"/>
          <w:sz w:val="21"/>
          <w:szCs w:val="21"/>
        </w:rPr>
        <w:t xml:space="preserve"> kterého je Zákazník oprávněn využít běžnou záruku na výrobek v sou</w:t>
      </w:r>
      <w:r>
        <w:rPr>
          <w:rFonts w:ascii="Arial" w:eastAsia="Arial" w:hAnsi="Arial" w:cs="Arial"/>
          <w:color w:val="333333"/>
          <w:sz w:val="21"/>
          <w:szCs w:val="21"/>
        </w:rPr>
        <w:t>ladu s ustanoveními zákona č. 89/2012 Sb., občanský zákoník, ve znění pozdějších předpisů.</w:t>
      </w:r>
    </w:p>
    <w:p w14:paraId="6CA78CA2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3.2.</w:t>
      </w:r>
    </w:p>
    <w:p w14:paraId="72CB1F14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Není-li stanoveno jinak, je běžná záruční doba na výrobek dva (2) roky. Záruční doba začíná plynout ode dne převzetí výrobku Zákazníkem. Společnost v rámci Prog</w:t>
      </w:r>
      <w:r>
        <w:rPr>
          <w:rFonts w:ascii="Arial" w:eastAsia="Arial" w:hAnsi="Arial" w:cs="Arial"/>
          <w:color w:val="333333"/>
          <w:sz w:val="21"/>
          <w:szCs w:val="21"/>
        </w:rPr>
        <w:t>ramu ze svého postavení oficiálního dovozce nabízí spotřebitelům prodlouženou záruku na vybrané modely v celkové délce trvání tří (3) let. Předmětem této nadstandardní záruky je bezplatné odstraňování výrobních vad po dobu následujícího jednoho (1) roku od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skončení zákonné dvou (2) leté záruční doby.</w:t>
      </w:r>
    </w:p>
    <w:p w14:paraId="757448C2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3.3.</w:t>
      </w:r>
    </w:p>
    <w:p w14:paraId="09183C7B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Záruka je poskytována Zákazníkovi jako kupujícímu, respektive konečnému spotřebiteli v souladu se zákonem č. 634/1992 Sb., o ochraně spotřebitele, ve znění pozdějších předpisů, na výrobky sloužící pro běžn</w:t>
      </w:r>
      <w:r>
        <w:rPr>
          <w:rFonts w:ascii="Arial" w:eastAsia="Arial" w:hAnsi="Arial" w:cs="Arial"/>
          <w:color w:val="333333"/>
          <w:sz w:val="21"/>
          <w:szCs w:val="21"/>
        </w:rPr>
        <w:t>é používání v domácnosti. Výrobek není určen k průmyslovému použití a poskytování služeb. Výrobky, které nejsou používány v domácnosti, nejsou předmětem záruky (hotelová a restaurační zařízení, školská zařízení, úklidové firmy apod.).</w:t>
      </w:r>
    </w:p>
    <w:p w14:paraId="01D4F3DC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3.4.</w:t>
      </w:r>
    </w:p>
    <w:p w14:paraId="619BE2BC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Záruční oprava s</w:t>
      </w:r>
      <w:r>
        <w:rPr>
          <w:rFonts w:ascii="Arial" w:eastAsia="Arial" w:hAnsi="Arial" w:cs="Arial"/>
          <w:color w:val="333333"/>
          <w:sz w:val="21"/>
          <w:szCs w:val="21"/>
        </w:rPr>
        <w:t>e vztahuje výhradně na závady, které vzniknou v době platnosti záruční doby, a to výrobní vadou. Takto vzniklé závady je oprávněn odstranit pouze autorizovaný servis.</w:t>
      </w:r>
    </w:p>
    <w:p w14:paraId="34563FC2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3.5.</w:t>
      </w:r>
    </w:p>
    <w:p w14:paraId="6BD8D0D0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Práva z běžné záruky se uplatňují u prodávajícího. </w:t>
      </w:r>
      <w:r>
        <w:rPr>
          <w:rFonts w:ascii="Arial" w:eastAsia="Arial" w:hAnsi="Arial" w:cs="Arial"/>
          <w:b/>
          <w:color w:val="000000"/>
          <w:sz w:val="21"/>
          <w:szCs w:val="21"/>
        </w:rPr>
        <w:t>Práva z prodloužené záruky lze uplatnit pouze u Společnosti.</w:t>
      </w:r>
    </w:p>
    <w:p w14:paraId="77CFA582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3.6.</w:t>
      </w:r>
    </w:p>
    <w:p w14:paraId="740D666F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Při uplatnění práv ze záruky Zákazník prokáže existenci záruky předložením čitelného prodejního dokladu nebo obdrženého certifikátu. Po pro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vedení záruční opravy je autorizované servisní středisko povinno vydat Zákazníkovi čitelnou kopii servisního listu nebo doklad o uplatnění práva záruky a době trvání opravy. Po dobu záruky je Zákazník povinen uschovat veškeré doklady související s koupí a </w:t>
      </w:r>
      <w:r>
        <w:rPr>
          <w:rFonts w:ascii="Arial" w:eastAsia="Arial" w:hAnsi="Arial" w:cs="Arial"/>
          <w:color w:val="333333"/>
          <w:sz w:val="21"/>
          <w:szCs w:val="21"/>
        </w:rPr>
        <w:t>servisem výrobku.</w:t>
      </w:r>
    </w:p>
    <w:p w14:paraId="411F940E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3.7.</w:t>
      </w:r>
    </w:p>
    <w:p w14:paraId="737FADEE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Servisní list slouží k prokazování práv Zákazníka, proto je ve vlastním zájmu Zákazníka si zkontrolovat před podpisem veškeré údaje.</w:t>
      </w:r>
    </w:p>
    <w:p w14:paraId="0440834B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3.8.</w:t>
      </w:r>
    </w:p>
    <w:p w14:paraId="39F9833A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Výrobek musí být instalován a provozován podle návodu k obsluze a platných norem. Společnost ne</w:t>
      </w:r>
      <w:r>
        <w:rPr>
          <w:rFonts w:ascii="Arial" w:eastAsia="Arial" w:hAnsi="Arial" w:cs="Arial"/>
          <w:color w:val="333333"/>
          <w:sz w:val="21"/>
          <w:szCs w:val="21"/>
        </w:rPr>
        <w:t>odpovídá za poškození vzniklé chybnou instalací nebo chybným zapojením výrobku.</w:t>
      </w:r>
    </w:p>
    <w:p w14:paraId="342C1DA4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3.9.</w:t>
      </w:r>
    </w:p>
    <w:p w14:paraId="1B79E0B1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Prodloužená záruka vyplývající z těchto Podmínek může být uplatněna pouze na území České republiky a týká se pouze a výhradně výrobků dovezených do České republiky prostře</w:t>
      </w:r>
      <w:r>
        <w:rPr>
          <w:rFonts w:ascii="Arial" w:eastAsia="Arial" w:hAnsi="Arial" w:cs="Arial"/>
          <w:b/>
          <w:color w:val="000000"/>
          <w:sz w:val="21"/>
          <w:szCs w:val="21"/>
        </w:rPr>
        <w:t>dnictvím oficiálního zastoupení iRobot, tj. Společností.</w:t>
      </w:r>
    </w:p>
    <w:p w14:paraId="2DAD9E0D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3.10.</w:t>
      </w:r>
    </w:p>
    <w:p w14:paraId="78951197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Pokud není uvedeno jinak, podléhá úprava podmínek prodloužené záruky podmínkám pro běžnou záruku.</w:t>
      </w:r>
    </w:p>
    <w:p w14:paraId="09D0C8E4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3.11.</w:t>
      </w:r>
    </w:p>
    <w:p w14:paraId="29B79032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Pro získání prodloužené záruky je nutné splnění veškerých podmínek uvedených na </w:t>
      </w:r>
      <w:hyperlink r:id="rId6">
        <w:r>
          <w:rPr>
            <w:rFonts w:ascii="Arial" w:eastAsia="Arial" w:hAnsi="Arial" w:cs="Arial"/>
            <w:color w:val="64A70B"/>
            <w:sz w:val="21"/>
            <w:szCs w:val="21"/>
            <w:u w:val="single"/>
          </w:rPr>
          <w:t>www.irobotclub.cz</w:t>
        </w:r>
      </w:hyperlink>
      <w:r>
        <w:rPr>
          <w:rFonts w:ascii="Arial" w:eastAsia="Arial" w:hAnsi="Arial" w:cs="Arial"/>
          <w:color w:val="333333"/>
          <w:sz w:val="21"/>
          <w:szCs w:val="21"/>
        </w:rPr>
        <w:t> a uzavření Smlouvy.</w:t>
      </w:r>
    </w:p>
    <w:p w14:paraId="02239EF1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3.12.</w:t>
      </w:r>
    </w:p>
    <w:p w14:paraId="2B952FAF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Práva z prodloužené záruky mají pouze Zákazníci, a to pouze k výrobkům na které se vztahuje běžná záruka. </w:t>
      </w:r>
      <w:r>
        <w:rPr>
          <w:rFonts w:ascii="Arial" w:eastAsia="Arial" w:hAnsi="Arial" w:cs="Arial"/>
          <w:b/>
          <w:color w:val="000000"/>
          <w:sz w:val="21"/>
          <w:szCs w:val="21"/>
        </w:rPr>
        <w:t>Prodloužená záruka se vztahuje pouze na přístroje iRobot uvedené v záložce „Mám nárok na prodlouženou záruku“ umístěné na internetových stránkách Spol</w:t>
      </w:r>
      <w:r>
        <w:rPr>
          <w:rFonts w:ascii="Arial" w:eastAsia="Arial" w:hAnsi="Arial" w:cs="Arial"/>
          <w:b/>
          <w:color w:val="000000"/>
          <w:sz w:val="21"/>
          <w:szCs w:val="21"/>
        </w:rPr>
        <w:t>ečnosti týkajících se Programu.</w:t>
      </w:r>
    </w:p>
    <w:p w14:paraId="155325E5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3.13.</w:t>
      </w:r>
    </w:p>
    <w:p w14:paraId="31E17A17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V době trvání běžné záruky jsou jednotlivé záruční podmínky upraveny u každého prodejce samostatně.</w:t>
      </w:r>
    </w:p>
    <w:p w14:paraId="32158B2A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3.14.</w:t>
      </w:r>
    </w:p>
    <w:p w14:paraId="7F8896AE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V době trvání prodloužené záruky bude oprávněná reklamace řešena opravou nebo dodáním náhradního dílu. V rámci p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rodloužené záruky rozhoduje o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neopravitelnosti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výrobku nebo podstatném a nepodstatném porušení kupní smlouvy výhradně Společnost a výrobek se automaticky nestává neopravitelným např. překročením lhůty pro vyřízení reklamace (30 dnů) tak, jako tomu u běžné </w:t>
      </w:r>
      <w:r>
        <w:rPr>
          <w:rFonts w:ascii="Arial" w:eastAsia="Arial" w:hAnsi="Arial" w:cs="Arial"/>
          <w:color w:val="333333"/>
          <w:sz w:val="21"/>
          <w:szCs w:val="21"/>
        </w:rPr>
        <w:t>záruky. Nelze tedy uplatnit §2106 zákona č. 89/2012 Sb., občanský zákoník, ani § 19 odst. 3 a § 24 odst. 7 písm. v) zákona č. 634/1992 Sb., o ochraně spotřebitele. V případě autorizovaným technikem potvrzené neodstranitelné vady zajistí Společnost výměnu v</w:t>
      </w:r>
      <w:r>
        <w:rPr>
          <w:rFonts w:ascii="Arial" w:eastAsia="Arial" w:hAnsi="Arial" w:cs="Arial"/>
          <w:color w:val="333333"/>
          <w:sz w:val="21"/>
          <w:szCs w:val="21"/>
        </w:rPr>
        <w:t>ýrobku za nový. Pokud stejný výrobek není skladem, zajistí Společnost výměnu za model srovnatelných technických vlastností a v co nejpodobnějším barevném provedení. Nárok na výměnu uplatňuje Zákazník po zaslání všech potřebných dokladů, tj. dokladu o zakou</w:t>
      </w:r>
      <w:r>
        <w:rPr>
          <w:rFonts w:ascii="Arial" w:eastAsia="Arial" w:hAnsi="Arial" w:cs="Arial"/>
          <w:color w:val="333333"/>
          <w:sz w:val="21"/>
          <w:szCs w:val="21"/>
        </w:rPr>
        <w:t>pení a vyjádření servisního technika na e-mail, nebo poštou na adresu Společnosti. </w:t>
      </w:r>
      <w:r>
        <w:rPr>
          <w:rFonts w:ascii="Arial" w:eastAsia="Arial" w:hAnsi="Arial" w:cs="Arial"/>
          <w:b/>
          <w:color w:val="000000"/>
          <w:sz w:val="21"/>
          <w:szCs w:val="21"/>
        </w:rPr>
        <w:t>Zákazník nemá právo v průběhu prodloužené záruky na odstoupení od kupní smlouvy a vrácení kupní ceny</w:t>
      </w:r>
      <w:r>
        <w:rPr>
          <w:rFonts w:ascii="Arial" w:eastAsia="Arial" w:hAnsi="Arial" w:cs="Arial"/>
          <w:color w:val="333333"/>
          <w:sz w:val="21"/>
          <w:szCs w:val="21"/>
        </w:rPr>
        <w:t>.</w:t>
      </w:r>
    </w:p>
    <w:p w14:paraId="36099BE7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3.15.</w:t>
      </w:r>
    </w:p>
    <w:p w14:paraId="29AECF27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Právo na uplatnění záruky zaniká pokud:</w:t>
      </w:r>
    </w:p>
    <w:p w14:paraId="324DC3AA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3.15.1.</w:t>
      </w:r>
    </w:p>
    <w:p w14:paraId="6C5828F2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není výrobek používán v souladu s návodem;</w:t>
      </w:r>
    </w:p>
    <w:p w14:paraId="0D27C41A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3.15.2.</w:t>
      </w:r>
    </w:p>
    <w:p w14:paraId="499ADA68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došlo k mechanickému poškození výrobku zaviněním Zákazníka nebo cizím zaviněním, při nesprávné údržbě nebo jiným zanedbáním péče o výrobek;</w:t>
      </w:r>
    </w:p>
    <w:p w14:paraId="54B9B420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3.15.3.</w:t>
      </w:r>
    </w:p>
    <w:p w14:paraId="7340227D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byl na vý</w:t>
      </w:r>
      <w:r>
        <w:rPr>
          <w:rFonts w:ascii="Arial" w:eastAsia="Arial" w:hAnsi="Arial" w:cs="Arial"/>
          <w:color w:val="333333"/>
          <w:sz w:val="21"/>
          <w:szCs w:val="21"/>
        </w:rPr>
        <w:t>robku proveden neodborný zásah neoprávněnou osobou;</w:t>
      </w:r>
    </w:p>
    <w:p w14:paraId="7E7800B4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3.15.4.</w:t>
      </w:r>
    </w:p>
    <w:p w14:paraId="5CBFFDCA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došlo k mechanickému poškození při přepravě;</w:t>
      </w:r>
    </w:p>
    <w:p w14:paraId="4C7806B9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3.15.5.</w:t>
      </w:r>
    </w:p>
    <w:p w14:paraId="33A6C6F7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lastRenderedPageBreak/>
        <w:t>je vada způsobená vnějšími podmínkami, jako jsou např. poruchy v elektrické síti nebo vadná bytová instalace, nevhodnými provozními podmínkami,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poškození živlem;</w:t>
      </w:r>
    </w:p>
    <w:p w14:paraId="202BD0D1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3.15.6.</w:t>
      </w:r>
    </w:p>
    <w:p w14:paraId="4BF6A8A8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je výrobek vadný z důvodu použití neoriginálního příslušenství a náhradních dílů;</w:t>
      </w:r>
    </w:p>
    <w:p w14:paraId="50B120DA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3.15.7.</w:t>
      </w:r>
    </w:p>
    <w:p w14:paraId="364633A5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záruka se dále nevztahuje na preventivní údržbu popsanou v návodu k obsluze, popřípadě závady způsobené nevhodnou manipulací, na opotřebení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vzniklé běžným používáním, mechanické poškození skleněných a plastových komponentů;</w:t>
      </w:r>
    </w:p>
    <w:p w14:paraId="3E3822B9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3.15.8.</w:t>
      </w:r>
    </w:p>
    <w:p w14:paraId="0A98EEA0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záruka se nevztahuje na návštěvu technika za účelem poradenství, preventivní kontrolu stavu výrobku, výměnu náhradního dílu, který nevyžaduje odborný zásah.</w:t>
      </w:r>
    </w:p>
    <w:p w14:paraId="28071451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</w:t>
      </w:r>
    </w:p>
    <w:p w14:paraId="32A33700" w14:textId="77777777" w:rsidR="00CA4C7D" w:rsidRDefault="004F40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Och</w:t>
      </w:r>
      <w:r>
        <w:rPr>
          <w:rFonts w:ascii="Arial" w:eastAsia="Arial" w:hAnsi="Arial" w:cs="Arial"/>
          <w:b/>
          <w:color w:val="000000"/>
          <w:sz w:val="21"/>
          <w:szCs w:val="21"/>
        </w:rPr>
        <w:t>rana osobních údajů</w:t>
      </w:r>
    </w:p>
    <w:p w14:paraId="3A81D118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4.1.</w:t>
      </w:r>
    </w:p>
    <w:p w14:paraId="213F543F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Veškeré nakládání s osobními údaji Zákazníka se řídí Nařízením Evropského parlamentu a Rady EU 2016/679 ze dne 27.4.2016 o ochraně fyzických osob v souvislosti se zpracováním osobních údajů a o volném pohybu těchto údajů a o zrušení směrnice 95/46/ES (obec</w:t>
      </w:r>
      <w:r>
        <w:rPr>
          <w:rFonts w:ascii="Arial" w:eastAsia="Arial" w:hAnsi="Arial" w:cs="Arial"/>
          <w:color w:val="333333"/>
          <w:sz w:val="21"/>
          <w:szCs w:val="21"/>
        </w:rPr>
        <w:t>né nařízení o ochraně osobních údajů), a souvisejícími právními předpisy platnými na území České republiky, zejména zákonem č. 110/2019 Sb., o zpracování osobních údajů, v platném znění.</w:t>
      </w:r>
    </w:p>
    <w:p w14:paraId="158FB627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4.2.</w:t>
      </w:r>
    </w:p>
    <w:p w14:paraId="454BB1A9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Správcem osobních údajů je Společnost, tak jak je definována výš</w:t>
      </w:r>
      <w:r>
        <w:rPr>
          <w:rFonts w:ascii="Arial" w:eastAsia="Arial" w:hAnsi="Arial" w:cs="Arial"/>
          <w:color w:val="333333"/>
          <w:sz w:val="21"/>
          <w:szCs w:val="21"/>
        </w:rPr>
        <w:t>e.</w:t>
      </w:r>
    </w:p>
    <w:p w14:paraId="03EB82C8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4.3.</w:t>
      </w:r>
    </w:p>
    <w:p w14:paraId="7D04D2B9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Informace o účelu zpracování, právním základě a uchovávání osobních údajů naleznete přehledně v tabulce níže:</w:t>
      </w:r>
    </w:p>
    <w:p w14:paraId="3D14F985" w14:textId="77777777" w:rsidR="00CA4C7D" w:rsidRDefault="00CA4C7D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</w:p>
    <w:tbl>
      <w:tblPr>
        <w:tblStyle w:val="a"/>
        <w:tblW w:w="8985" w:type="dxa"/>
        <w:tblInd w:w="255" w:type="dxa"/>
        <w:tblBorders>
          <w:bottom w:val="single" w:sz="6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295"/>
        <w:gridCol w:w="2610"/>
        <w:gridCol w:w="3510"/>
      </w:tblGrid>
      <w:tr w:rsidR="00CA4C7D" w14:paraId="049590EF" w14:textId="77777777">
        <w:trPr>
          <w:trHeight w:val="615"/>
        </w:trPr>
        <w:tc>
          <w:tcPr>
            <w:tcW w:w="570" w:type="dxa"/>
            <w:tcBorders>
              <w:top w:val="nil"/>
              <w:bottom w:val="single" w:sz="12" w:space="0" w:color="DDDDDD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8B535F6" w14:textId="77777777" w:rsidR="00CA4C7D" w:rsidRDefault="004F4078">
            <w:pPr>
              <w:spacing w:after="15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nil"/>
              <w:bottom w:val="single" w:sz="12" w:space="0" w:color="DDDDDD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E4059F" w14:textId="77777777" w:rsidR="00CA4C7D" w:rsidRDefault="004F4078">
            <w:pPr>
              <w:spacing w:after="15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Účel zpracování</w:t>
            </w:r>
          </w:p>
        </w:tc>
        <w:tc>
          <w:tcPr>
            <w:tcW w:w="2610" w:type="dxa"/>
            <w:tcBorders>
              <w:top w:val="nil"/>
              <w:bottom w:val="single" w:sz="12" w:space="0" w:color="DDDDDD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8B863C6" w14:textId="77777777" w:rsidR="00CA4C7D" w:rsidRDefault="004F4078">
            <w:pPr>
              <w:spacing w:after="15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Právní základ zpracování</w:t>
            </w:r>
          </w:p>
        </w:tc>
        <w:tc>
          <w:tcPr>
            <w:tcW w:w="3510" w:type="dxa"/>
            <w:tcBorders>
              <w:top w:val="nil"/>
              <w:bottom w:val="single" w:sz="12" w:space="0" w:color="DDDDDD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4D899EB" w14:textId="77777777" w:rsidR="00CA4C7D" w:rsidRDefault="004F4078">
            <w:pPr>
              <w:spacing w:after="15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Uchování osobních údajů</w:t>
            </w:r>
          </w:p>
        </w:tc>
      </w:tr>
      <w:tr w:rsidR="00CA4C7D" w14:paraId="4D7EAD75" w14:textId="77777777">
        <w:trPr>
          <w:trHeight w:val="1485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5DC04" w14:textId="77777777" w:rsidR="00CA4C7D" w:rsidRDefault="004F4078">
            <w:pPr>
              <w:spacing w:after="15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67253" w14:textId="77777777" w:rsidR="00CA4C7D" w:rsidRDefault="004F4078">
            <w:pPr>
              <w:spacing w:after="15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Poskytování služeb v rámci Programu</w:t>
            </w:r>
          </w:p>
        </w:tc>
        <w:tc>
          <w:tcPr>
            <w:tcW w:w="26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CB125" w14:textId="77777777" w:rsidR="00CA4C7D" w:rsidRDefault="004F4078">
            <w:pPr>
              <w:spacing w:after="15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Plnění této Smlouvy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4ADDC" w14:textId="77777777" w:rsidR="00CA4C7D" w:rsidRDefault="004F4078">
            <w:pPr>
              <w:spacing w:after="15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Osobní údaje budou uchovány po dobu nutnou k plnění smluvních povinností a jiných povinností stanovených zákonem (např. daňových) a dále po dobu trvání nároků z této Smlouvy.</w:t>
            </w:r>
          </w:p>
        </w:tc>
      </w:tr>
      <w:tr w:rsidR="00CA4C7D" w14:paraId="62F2A829" w14:textId="77777777">
        <w:trPr>
          <w:trHeight w:val="1650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147DC" w14:textId="77777777" w:rsidR="00CA4C7D" w:rsidRDefault="004F4078">
            <w:pPr>
              <w:spacing w:after="150" w:line="240" w:lineRule="auto"/>
              <w:ind w:right="-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2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E7B0A" w14:textId="77777777" w:rsidR="00CA4C7D" w:rsidRDefault="004F4078">
            <w:pPr>
              <w:spacing w:after="15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Provádění interní stat</w:t>
            </w:r>
            <w:r>
              <w:rPr>
                <w:rFonts w:ascii="Arial" w:eastAsia="Arial" w:hAnsi="Arial" w:cs="Arial"/>
                <w:sz w:val="18"/>
                <w:szCs w:val="18"/>
              </w:rPr>
              <w:t>istiky a analýz Společnosti vedoucích ke zlepšení kvality služeb</w:t>
            </w:r>
          </w:p>
        </w:tc>
        <w:tc>
          <w:tcPr>
            <w:tcW w:w="26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330B6" w14:textId="77777777" w:rsidR="00CA4C7D" w:rsidRDefault="004F4078">
            <w:pPr>
              <w:spacing w:after="15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Plnění této Smlouvy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0762E" w14:textId="77777777" w:rsidR="00CA4C7D" w:rsidRDefault="004F4078">
            <w:pPr>
              <w:spacing w:after="15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Osobní údaje budou uchovávány maximálně po dobu trvání této Smlouvy.</w:t>
            </w:r>
          </w:p>
        </w:tc>
      </w:tr>
      <w:tr w:rsidR="00CA4C7D" w14:paraId="2DB1D1FC" w14:textId="77777777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A2ADA" w14:textId="77777777" w:rsidR="00CA4C7D" w:rsidRDefault="004F4078">
            <w:pPr>
              <w:spacing w:after="15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2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AADA1" w14:textId="77777777" w:rsidR="00CA4C7D" w:rsidRDefault="004F4078">
            <w:pPr>
              <w:spacing w:after="15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Zasílání obchodních sdělení prostřednictvím elektronického kontaktu</w:t>
            </w:r>
          </w:p>
        </w:tc>
        <w:tc>
          <w:tcPr>
            <w:tcW w:w="26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401C8" w14:textId="77777777" w:rsidR="00CA4C7D" w:rsidRDefault="004F4078">
            <w:pPr>
              <w:spacing w:after="15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Zákon o některých službách informační společnosti a oprávněný zájem správce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53F15" w14:textId="77777777" w:rsidR="00CA4C7D" w:rsidRDefault="004F4078">
            <w:pPr>
              <w:spacing w:after="15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Osobní údaje budou uchovávány, dokud Společnost neobdrží námitku vůči zpracování nebo odmítnutí užití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elektronic</w:t>
            </w:r>
            <w:r>
              <w:rPr>
                <w:rFonts w:ascii="Arial" w:eastAsia="Arial" w:hAnsi="Arial" w:cs="Arial"/>
                <w:sz w:val="18"/>
                <w:szCs w:val="18"/>
              </w:rPr>
              <w:t>kého kontaktu pro marketingové účely.</w:t>
            </w:r>
          </w:p>
        </w:tc>
      </w:tr>
    </w:tbl>
    <w:p w14:paraId="19D183B8" w14:textId="77777777" w:rsidR="00CA4C7D" w:rsidRDefault="00CA4C7D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</w:p>
    <w:p w14:paraId="15B6F526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4.4.</w:t>
      </w:r>
    </w:p>
    <w:p w14:paraId="26E77B56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K naplnění účelů zpracování zpracováváme údaje, které nám sdělíte v rámci registrace, jakož i údaje v získané v rámci případných následných nároků ze záruk. Jedná se zejména o základní identifikační údaje (jméno), Vaše kontaktní údaje uvedené v registrační</w:t>
      </w:r>
      <w:r>
        <w:rPr>
          <w:rFonts w:ascii="Arial" w:eastAsia="Arial" w:hAnsi="Arial" w:cs="Arial"/>
          <w:color w:val="333333"/>
          <w:sz w:val="21"/>
          <w:szCs w:val="21"/>
        </w:rPr>
        <w:t>m formuláři, údaje o Vašem přístroji a jeho nákupu a údaje související s následnými případnými reklamacemi.</w:t>
      </w:r>
    </w:p>
    <w:p w14:paraId="1973657D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4.5.</w:t>
      </w:r>
    </w:p>
    <w:p w14:paraId="7B093EAE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Poskytnutí osobních údajů je nezbytné pro naplnění účelu označeného 1. a 2., tedy pro řádné poskytnutí služeb v rámci Programu a dále pro napln</w:t>
      </w:r>
      <w:r>
        <w:rPr>
          <w:rFonts w:ascii="Arial" w:eastAsia="Arial" w:hAnsi="Arial" w:cs="Arial"/>
          <w:color w:val="333333"/>
          <w:sz w:val="21"/>
          <w:szCs w:val="21"/>
        </w:rPr>
        <w:t>ění jeho účelu spočívajícího ve zlepšování péče o zákazníky. Bez těchto údajů Vás nebudeme moci do Programu zařadit, tj. s Vámi uzavřít Smlouvu.</w:t>
      </w:r>
    </w:p>
    <w:p w14:paraId="2CB683FC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4.6.</w:t>
      </w:r>
    </w:p>
    <w:p w14:paraId="70F22E3D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Společnost provádí taková technická a organizační opatření, aby zajistila úroveň odpovídající zabezpečení </w:t>
      </w:r>
      <w:r>
        <w:rPr>
          <w:rFonts w:ascii="Arial" w:eastAsia="Arial" w:hAnsi="Arial" w:cs="Arial"/>
          <w:color w:val="333333"/>
          <w:sz w:val="21"/>
          <w:szCs w:val="21"/>
        </w:rPr>
        <w:t>osobních údajů a údajů o nakupování zákazníka do takové míry, aby minimalizovala rizika náhodného nebo protiprávního zničení, ztráty, změny nebo neoprávněného poskytnutí nebo zpřístupnění či jiného zneužití těchto údajů.</w:t>
      </w:r>
    </w:p>
    <w:p w14:paraId="15E4D63F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4.7.</w:t>
      </w:r>
    </w:p>
    <w:p w14:paraId="06FBDA93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Osobní údaje Zákazníků jsou pl</w:t>
      </w:r>
      <w:r>
        <w:rPr>
          <w:rFonts w:ascii="Arial" w:eastAsia="Arial" w:hAnsi="Arial" w:cs="Arial"/>
          <w:color w:val="333333"/>
          <w:sz w:val="21"/>
          <w:szCs w:val="21"/>
        </w:rPr>
        <w:t>ně zabezpečeny proti zneužití. Osobní údaje Zákazníků Společnost nepředává žádné další osobě, vyjma osob, kterým by byla Společnost dle platných právních předpisů tyto údaje povinna poskytnout a vyjma pečlivě vybraného zpracovatele nebo zpracovatelů, kteří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poskytnout nezbytné technické (IT) zabezpečení Programu. Vedle těchto osob a našich spolupracovníků nebudou osobní údaje zpřístupněny žádným třetím osobám.</w:t>
      </w:r>
    </w:p>
    <w:p w14:paraId="06FCE8E9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4.8.</w:t>
      </w:r>
    </w:p>
    <w:p w14:paraId="2F7FEC44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Osobní údaje nebudou poskytnuty do třetích zemí nebo mezinárodní organizaci.</w:t>
      </w:r>
    </w:p>
    <w:p w14:paraId="5997BA54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4.9.</w:t>
      </w:r>
    </w:p>
    <w:p w14:paraId="2CD40940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V souvislosti se zpracováním osobních údajů se může Zákazník kdykoliv obrátit na Společnost poštou nebo e-mailem na adresu </w:t>
      </w:r>
      <w:hyperlink r:id="rId7">
        <w:r>
          <w:rPr>
            <w:rFonts w:ascii="Arial" w:eastAsia="Arial" w:hAnsi="Arial" w:cs="Arial"/>
            <w:color w:val="64A70B"/>
            <w:sz w:val="21"/>
            <w:szCs w:val="21"/>
            <w:u w:val="single"/>
          </w:rPr>
          <w:t>info@irobot.cz</w:t>
        </w:r>
      </w:hyperlink>
      <w:r>
        <w:rPr>
          <w:rFonts w:ascii="Arial" w:eastAsia="Arial" w:hAnsi="Arial" w:cs="Arial"/>
          <w:color w:val="333333"/>
          <w:sz w:val="21"/>
          <w:szCs w:val="21"/>
        </w:rPr>
        <w:t>. Pomocí těchto komunikačních kanálů může Zákazník požádat o potvrzení, zda js</w:t>
      </w:r>
      <w:r>
        <w:rPr>
          <w:rFonts w:ascii="Arial" w:eastAsia="Arial" w:hAnsi="Arial" w:cs="Arial"/>
          <w:color w:val="333333"/>
          <w:sz w:val="21"/>
          <w:szCs w:val="21"/>
        </w:rPr>
        <w:t>ou jeho osobní údaje zpracovávány a případně uplatnit některé ze svých práv.</w:t>
      </w:r>
    </w:p>
    <w:p w14:paraId="5D73A2D5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4.10.</w:t>
      </w:r>
    </w:p>
    <w:p w14:paraId="383AA344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Zákazník bere na vědomí, že v souvislosti se zpracováním osobních údajů má následující práva:</w:t>
      </w:r>
    </w:p>
    <w:p w14:paraId="3C963208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4.10.1.</w:t>
      </w:r>
    </w:p>
    <w:p w14:paraId="690A3DF0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požadovat po Společnosti informaci, jaké osobní údaje zpracovává;</w:t>
      </w:r>
    </w:p>
    <w:p w14:paraId="48F702A5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4.10.2.</w:t>
      </w:r>
    </w:p>
    <w:p w14:paraId="472D4158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požadovat po Společnosti vysvětlení ohledně zpracování osobních údajů;</w:t>
      </w:r>
    </w:p>
    <w:p w14:paraId="2E3098CC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4.10.3.</w:t>
      </w:r>
    </w:p>
    <w:p w14:paraId="19629D0F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vyžádat si u Společnosti přístup k těmto údajům a tyto nechat aktualizovat nebo opravit;</w:t>
      </w:r>
    </w:p>
    <w:p w14:paraId="772FFED8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4.10.4.</w:t>
      </w:r>
    </w:p>
    <w:p w14:paraId="07509FBB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požado</w:t>
      </w:r>
      <w:r>
        <w:rPr>
          <w:rFonts w:ascii="Arial" w:eastAsia="Arial" w:hAnsi="Arial" w:cs="Arial"/>
          <w:color w:val="333333"/>
          <w:sz w:val="21"/>
          <w:szCs w:val="21"/>
        </w:rPr>
        <w:t>vat po Společnosti výmaz těchto osobních údajů, pokud ovšem jiný právní předpis nevyžaduje uchovávání těchto údajů;</w:t>
      </w:r>
    </w:p>
    <w:p w14:paraId="3B0C74C4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lastRenderedPageBreak/>
        <w:t>4.10.5.</w:t>
      </w:r>
    </w:p>
    <w:p w14:paraId="67E86701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v případě, že jsou osobní údaje zpracovávány na základě oprávněného zájmu Společnosti, má Zákazník právo vznést námitku proti takové</w:t>
      </w:r>
      <w:r>
        <w:rPr>
          <w:rFonts w:ascii="Arial" w:eastAsia="Arial" w:hAnsi="Arial" w:cs="Arial"/>
          <w:color w:val="333333"/>
          <w:sz w:val="21"/>
          <w:szCs w:val="21"/>
        </w:rPr>
        <w:t>mu zpracovávání;</w:t>
      </w:r>
    </w:p>
    <w:p w14:paraId="59C48F77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4.10.6.</w:t>
      </w:r>
    </w:p>
    <w:p w14:paraId="64C0BCF8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v rámci každé zprávy odmítnout užití elektronického kontaktu pro zasílání obchodních sdělení;</w:t>
      </w:r>
    </w:p>
    <w:p w14:paraId="511E4FC8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4.10.7.</w:t>
      </w:r>
    </w:p>
    <w:p w14:paraId="12E795C2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v případě pochybností o dodržování povinností souvisejících se zpracováním osobních údajů obrátit se na Společnost nebo na dozoro</w:t>
      </w:r>
      <w:r>
        <w:rPr>
          <w:rFonts w:ascii="Arial" w:eastAsia="Arial" w:hAnsi="Arial" w:cs="Arial"/>
          <w:color w:val="333333"/>
          <w:sz w:val="21"/>
          <w:szCs w:val="21"/>
        </w:rPr>
        <w:t>vý úřad, kterým je v České republice Úřad pro ochranu osobních údajů, se sídlem Pplk. Sochora 727/27, PSČ 170 00 Praha 7 - Holešovice, </w:t>
      </w:r>
      <w:hyperlink r:id="rId8">
        <w:r>
          <w:rPr>
            <w:rFonts w:ascii="Arial" w:eastAsia="Arial" w:hAnsi="Arial" w:cs="Arial"/>
            <w:color w:val="64A70B"/>
            <w:sz w:val="21"/>
            <w:szCs w:val="21"/>
            <w:u w:val="single"/>
          </w:rPr>
          <w:t>www.uoou.cz</w:t>
        </w:r>
      </w:hyperlink>
      <w:r>
        <w:rPr>
          <w:rFonts w:ascii="Arial" w:eastAsia="Arial" w:hAnsi="Arial" w:cs="Arial"/>
          <w:color w:val="333333"/>
          <w:sz w:val="21"/>
          <w:szCs w:val="21"/>
        </w:rPr>
        <w:t>.</w:t>
      </w:r>
    </w:p>
    <w:p w14:paraId="5968EEBE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5.</w:t>
      </w:r>
    </w:p>
    <w:p w14:paraId="299BE2DD" w14:textId="77777777" w:rsidR="00CA4C7D" w:rsidRDefault="004F40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Ukončení programu</w:t>
      </w:r>
    </w:p>
    <w:p w14:paraId="5C5B0B14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5.1.</w:t>
      </w:r>
    </w:p>
    <w:p w14:paraId="2BC4F374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Společnost je oprávněna kdykoliv Program bez náhrady ukončit nebo jej nahradit programem novým. Ukončením Programu nemá vliv na tuto Smlouvu, která zaniká až uplynutím doby prodloužené záruky.</w:t>
      </w:r>
    </w:p>
    <w:p w14:paraId="3DBC8647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5.2.</w:t>
      </w:r>
    </w:p>
    <w:p w14:paraId="0478232B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Smlouva automaticky zaniká uplynutím doby prodloužené záru</w:t>
      </w:r>
      <w:r>
        <w:rPr>
          <w:rFonts w:ascii="Arial" w:eastAsia="Arial" w:hAnsi="Arial" w:cs="Arial"/>
          <w:color w:val="333333"/>
          <w:sz w:val="21"/>
          <w:szCs w:val="21"/>
        </w:rPr>
        <w:t>ky.</w:t>
      </w:r>
    </w:p>
    <w:p w14:paraId="0FE9E624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6.</w:t>
      </w:r>
    </w:p>
    <w:p w14:paraId="1B2EAB6D" w14:textId="77777777" w:rsidR="00CA4C7D" w:rsidRDefault="004F40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Závěrečná ustanovení</w:t>
      </w:r>
    </w:p>
    <w:p w14:paraId="68733ED9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6.1.</w:t>
      </w:r>
    </w:p>
    <w:p w14:paraId="283F0B43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Tyto Podmínky jsou platné pro registrované Zákazníky, tj. pro Zákazníky, kteří uzavřeli Smlouvu.</w:t>
      </w:r>
    </w:p>
    <w:p w14:paraId="159FC98E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6.2.</w:t>
      </w:r>
    </w:p>
    <w:p w14:paraId="2E04199D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Společnost si vyhrazuje právo jednostranně změnit Podmínky v přiměřeném rozsahu. Změna podmínek Vám bude oznámena e-mailem. Jste vždy oprávněni změnu Podmínek odmítnout a z tohoto důvodu Smlouvu vypovědět. Smlouvu jste v tomto případě oprávněni vypovědět b</w:t>
      </w:r>
      <w:r>
        <w:rPr>
          <w:rFonts w:ascii="Arial" w:eastAsia="Arial" w:hAnsi="Arial" w:cs="Arial"/>
          <w:color w:val="333333"/>
          <w:sz w:val="21"/>
          <w:szCs w:val="21"/>
        </w:rPr>
        <w:t>ez výpovědní doby, a to formou e-mailu doručenému na náš e-mail: </w:t>
      </w:r>
      <w:hyperlink r:id="rId9">
        <w:r>
          <w:rPr>
            <w:rFonts w:ascii="Arial" w:eastAsia="Arial" w:hAnsi="Arial" w:cs="Arial"/>
            <w:color w:val="64A70B"/>
            <w:sz w:val="21"/>
            <w:szCs w:val="21"/>
            <w:u w:val="single"/>
          </w:rPr>
          <w:t>info@irobot.cz</w:t>
        </w:r>
      </w:hyperlink>
      <w:r>
        <w:rPr>
          <w:rFonts w:ascii="Arial" w:eastAsia="Arial" w:hAnsi="Arial" w:cs="Arial"/>
          <w:color w:val="333333"/>
          <w:sz w:val="21"/>
          <w:szCs w:val="21"/>
        </w:rPr>
        <w:t>. Jednostranná změna podmínek je přípustná zejména v případě (i) potřeby odstranění zjevných nesprávností nebo případného rozporu s práv</w:t>
      </w:r>
      <w:r>
        <w:rPr>
          <w:rFonts w:ascii="Arial" w:eastAsia="Arial" w:hAnsi="Arial" w:cs="Arial"/>
          <w:color w:val="333333"/>
          <w:sz w:val="21"/>
          <w:szCs w:val="21"/>
        </w:rPr>
        <w:t>ními předpisy, (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ii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>) potřeby změn z vážných provozních důvodů na straně Společnosti, (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iii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>) rozšíření Programu o další služby pro Zákazníky.</w:t>
      </w:r>
    </w:p>
    <w:p w14:paraId="6E576B62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6.3.</w:t>
      </w:r>
    </w:p>
    <w:p w14:paraId="2ABF7627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V případě, že by došlo ke vzniku spotřebitelského sporu ze Smlouvy, který se nepodaří vyřešit vzájemnou dohodou,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můžete jako spotřebitel podat návrh na mimosoudní řešení takového sporu určenému subjektu mimosoudního řešení spotřebitelských sporů, kterým je Česká obchodní inspekce, Ústřední inspektorát – oddělení ADR, Štěpánská 15, 120 00 Praha 2, e-mail: </w:t>
      </w:r>
      <w:hyperlink r:id="rId10">
        <w:r>
          <w:rPr>
            <w:rFonts w:ascii="Arial" w:eastAsia="Arial" w:hAnsi="Arial" w:cs="Arial"/>
            <w:color w:val="64A70B"/>
            <w:sz w:val="21"/>
            <w:szCs w:val="21"/>
            <w:u w:val="single"/>
          </w:rPr>
          <w:t>adr@coi.cz</w:t>
        </w:r>
      </w:hyperlink>
      <w:r>
        <w:rPr>
          <w:rFonts w:ascii="Arial" w:eastAsia="Arial" w:hAnsi="Arial" w:cs="Arial"/>
          <w:color w:val="333333"/>
          <w:sz w:val="21"/>
          <w:szCs w:val="21"/>
        </w:rPr>
        <w:t>; web: </w:t>
      </w:r>
      <w:hyperlink r:id="rId11">
        <w:r>
          <w:rPr>
            <w:rFonts w:ascii="Arial" w:eastAsia="Arial" w:hAnsi="Arial" w:cs="Arial"/>
            <w:color w:val="64A70B"/>
            <w:sz w:val="21"/>
            <w:szCs w:val="21"/>
            <w:u w:val="single"/>
          </w:rPr>
          <w:t>adr.coi.cz</w:t>
        </w:r>
      </w:hyperlink>
      <w:r>
        <w:rPr>
          <w:rFonts w:ascii="Arial" w:eastAsia="Arial" w:hAnsi="Arial" w:cs="Arial"/>
          <w:color w:val="333333"/>
          <w:sz w:val="21"/>
          <w:szCs w:val="21"/>
        </w:rPr>
        <w:t>. Spotřebitel může využít rovněž platformu obsahující informace o řešení těchto sporů, která je zřízena Evropskou komisí na internetové adrese </w:t>
      </w:r>
      <w:hyperlink r:id="rId12">
        <w:r>
          <w:rPr>
            <w:rFonts w:ascii="Arial" w:eastAsia="Arial" w:hAnsi="Arial" w:cs="Arial"/>
            <w:color w:val="64A70B"/>
            <w:sz w:val="21"/>
            <w:szCs w:val="21"/>
            <w:u w:val="single"/>
          </w:rPr>
          <w:t>http:// ec.europa.eu/</w:t>
        </w:r>
        <w:proofErr w:type="spellStart"/>
        <w:r>
          <w:rPr>
            <w:rFonts w:ascii="Arial" w:eastAsia="Arial" w:hAnsi="Arial" w:cs="Arial"/>
            <w:color w:val="64A70B"/>
            <w:sz w:val="21"/>
            <w:szCs w:val="21"/>
            <w:u w:val="single"/>
          </w:rPr>
          <w:t>consumers</w:t>
        </w:r>
        <w:proofErr w:type="spellEnd"/>
        <w:r>
          <w:rPr>
            <w:rFonts w:ascii="Arial" w:eastAsia="Arial" w:hAnsi="Arial" w:cs="Arial"/>
            <w:color w:val="64A70B"/>
            <w:sz w:val="21"/>
            <w:szCs w:val="21"/>
            <w:u w:val="single"/>
          </w:rPr>
          <w:t>/</w:t>
        </w:r>
        <w:proofErr w:type="spellStart"/>
        <w:r>
          <w:rPr>
            <w:rFonts w:ascii="Arial" w:eastAsia="Arial" w:hAnsi="Arial" w:cs="Arial"/>
            <w:color w:val="64A70B"/>
            <w:sz w:val="21"/>
            <w:szCs w:val="21"/>
            <w:u w:val="single"/>
          </w:rPr>
          <w:t>odr</w:t>
        </w:r>
        <w:proofErr w:type="spellEnd"/>
        <w:r>
          <w:rPr>
            <w:rFonts w:ascii="Arial" w:eastAsia="Arial" w:hAnsi="Arial" w:cs="Arial"/>
            <w:color w:val="64A70B"/>
            <w:sz w:val="21"/>
            <w:szCs w:val="21"/>
            <w:u w:val="single"/>
          </w:rPr>
          <w:t>/</w:t>
        </w:r>
      </w:hyperlink>
      <w:r>
        <w:rPr>
          <w:rFonts w:ascii="Arial" w:eastAsia="Arial" w:hAnsi="Arial" w:cs="Arial"/>
          <w:color w:val="333333"/>
          <w:sz w:val="21"/>
          <w:szCs w:val="21"/>
        </w:rPr>
        <w:t>.</w:t>
      </w:r>
    </w:p>
    <w:p w14:paraId="0E249136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6.4.</w:t>
      </w:r>
    </w:p>
    <w:p w14:paraId="2BE36C55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Tyto Podmínky jsou platné od 15.9. 2021.</w:t>
      </w:r>
    </w:p>
    <w:p w14:paraId="4EBFB6B2" w14:textId="77777777" w:rsidR="00CA4C7D" w:rsidRDefault="004F4078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color w:val="000000"/>
          <w:sz w:val="21"/>
          <w:szCs w:val="21"/>
        </w:rPr>
        <w:t>Certus</w:t>
      </w:r>
      <w:proofErr w:type="spellEnd"/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1"/>
          <w:szCs w:val="21"/>
        </w:rPr>
        <w:t>Mercatus</w:t>
      </w:r>
      <w:proofErr w:type="spellEnd"/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1"/>
          <w:szCs w:val="21"/>
        </w:rPr>
        <w:t>s.r.o</w:t>
      </w:r>
      <w:proofErr w:type="spellEnd"/>
    </w:p>
    <w:p w14:paraId="2BD09EE3" w14:textId="77777777" w:rsidR="00CA4C7D" w:rsidRDefault="00CA4C7D"/>
    <w:sectPr w:rsidR="00CA4C7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7D"/>
    <w:rsid w:val="004F4078"/>
    <w:rsid w:val="00C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ED5C"/>
  <w15:docId w15:val="{4120F644-4462-404E-B7B9-CCF626E4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7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1077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arker">
    <w:name w:val="marker"/>
    <w:basedOn w:val="Normln"/>
    <w:rsid w:val="0010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ln"/>
    <w:rsid w:val="0010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0776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0776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0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-irobot.dev2.mevea.cz/www.uoo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robot.cz" TargetMode="External"/><Relationship Id="rId12" Type="http://schemas.openxmlformats.org/officeDocument/2006/relationships/hyperlink" Target="http://ec.europa.eu/consumers/od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robotclub.cz/" TargetMode="External"/><Relationship Id="rId11" Type="http://schemas.openxmlformats.org/officeDocument/2006/relationships/hyperlink" Target="https://www.coi.cz/informace-o-adr/" TargetMode="External"/><Relationship Id="rId5" Type="http://schemas.openxmlformats.org/officeDocument/2006/relationships/hyperlink" Target="https://irobotclub.cz/" TargetMode="External"/><Relationship Id="rId10" Type="http://schemas.openxmlformats.org/officeDocument/2006/relationships/hyperlink" Target="mailto:adr@co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robo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WmWjpCSW7IWhh9hrpVfr+EVRiQ==">AMUW2mXhUDht3VDQxkUCkUtMSS+gML1CTngKeD0kKPle+m22QO4F2/F3U65PaeoaRdS7XVFkUZqvKQLqn25BngtE//qv+iFlTgzc5tLFJJzb2dh47dQXoac=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2082</Words>
  <Characters>12284</Characters>
  <Application>Microsoft Office Word</Application>
  <DocSecurity>0</DocSecurity>
  <Lines>102</Lines>
  <Paragraphs>28</Paragraphs>
  <ScaleCrop>false</ScaleCrop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Schambergerová</dc:creator>
  <cp:lastModifiedBy>René Novotný</cp:lastModifiedBy>
  <cp:revision>2</cp:revision>
  <dcterms:created xsi:type="dcterms:W3CDTF">2021-10-20T05:13:00Z</dcterms:created>
  <dcterms:modified xsi:type="dcterms:W3CDTF">2021-10-20T05:13:00Z</dcterms:modified>
</cp:coreProperties>
</file>